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60" w:rsidRDefault="00FC3BE6">
      <w:pPr>
        <w:pStyle w:val="Titre"/>
      </w:pPr>
      <w:bookmarkStart w:id="0" w:name="_GoBack"/>
      <w:bookmarkEnd w:id="0"/>
      <w:r>
        <w:t>Le genre : convictions et questionnements d’un  théologien</w:t>
      </w:r>
    </w:p>
    <w:p w:rsidR="00B473EC" w:rsidRDefault="00B473EC" w:rsidP="00B473EC">
      <w:pPr>
        <w:spacing w:after="0"/>
        <w:jc w:val="right"/>
      </w:pPr>
      <w:r>
        <w:t xml:space="preserve">Ignace Berten </w:t>
      </w:r>
    </w:p>
    <w:p w:rsidR="00D32A95" w:rsidRDefault="00D32A95" w:rsidP="00B473EC">
      <w:pPr>
        <w:spacing w:after="0"/>
        <w:jc w:val="right"/>
      </w:pPr>
      <w:r>
        <w:t>Carrefour familial</w:t>
      </w:r>
    </w:p>
    <w:p w:rsidR="00B473EC" w:rsidRDefault="00D32A95" w:rsidP="00B473EC">
      <w:pPr>
        <w:spacing w:after="0"/>
        <w:jc w:val="right"/>
      </w:pPr>
      <w:r>
        <w:t>Bruxelles, 18.05.15</w:t>
      </w:r>
      <w:r w:rsidR="00B473EC">
        <w:t xml:space="preserve"> </w:t>
      </w:r>
    </w:p>
    <w:p w:rsidR="00B473EC" w:rsidRDefault="00B473EC" w:rsidP="00B473EC">
      <w:pPr>
        <w:spacing w:after="0"/>
        <w:jc w:val="right"/>
      </w:pPr>
    </w:p>
    <w:p w:rsidR="00641292" w:rsidRDefault="00D32A95" w:rsidP="00641292">
      <w:r>
        <w:t>Je me suis réellement interrogé sur la question du genre à partir d’un article de Myriam Dieleman :</w:t>
      </w:r>
      <w:r w:rsidRPr="00D32A95">
        <w:t xml:space="preserve"> </w:t>
      </w:r>
      <w:r>
        <w:t>« Ce que les minorités font aux sexualités », paru dans</w:t>
      </w:r>
      <w:r w:rsidRPr="00D32A95">
        <w:t xml:space="preserve"> </w:t>
      </w:r>
      <w:r>
        <w:t xml:space="preserve">la </w:t>
      </w:r>
      <w:r>
        <w:rPr>
          <w:i/>
          <w:color w:val="000000"/>
        </w:rPr>
        <w:t>Revue nouvelle</w:t>
      </w:r>
      <w:r>
        <w:t xml:space="preserve"> de juillet - août 2011. Q</w:t>
      </w:r>
      <w:r w:rsidR="00641292">
        <w:t>uelques phrases choc</w:t>
      </w:r>
      <w:r>
        <w:t xml:space="preserve"> de cet</w:t>
      </w:r>
      <w:r w:rsidR="000469B4">
        <w:t>te</w:t>
      </w:r>
      <w:r>
        <w:t xml:space="preserve"> auteure m’ont interpellé</w:t>
      </w:r>
      <w:r w:rsidR="00641292">
        <w:t>. Ainsi : « La division sexuelle du travail, la production d’identités de genre (asymétriques) et le régime d’hétérosexualité obligatoire figurent toujours au menu de la modernité avancée. » Et encore : La famille « est aujourd’hui encore l’un des (re)producteurs primaires de la normativité sexuelle ». Ou : « Ces auteures militantes ont de la sorte été capables de sortir l’hétérosexualité de la normalité stupéfiante dans laquelle elle était plongée pour en rendre compte non comme une préférence sexuelle, mais bien comme un régime politique. »</w:t>
      </w:r>
    </w:p>
    <w:p w:rsidR="00CE218F" w:rsidRDefault="00A20885" w:rsidP="00A20885">
      <w:pPr>
        <w:pStyle w:val="Titre1"/>
      </w:pPr>
      <w:r>
        <w:t>Pourquoi la question ?</w:t>
      </w:r>
    </w:p>
    <w:p w:rsidR="00B473EC" w:rsidRDefault="00B473EC" w:rsidP="00FC3BE6">
      <w:r>
        <w:t xml:space="preserve">Le concept de genre connaît à l’heure actuelle </w:t>
      </w:r>
      <w:r w:rsidR="00D32A95">
        <w:t xml:space="preserve">un champ de significations qu’il y a lieu de différencier </w:t>
      </w:r>
      <w:r w:rsidR="00720DC6">
        <w:t xml:space="preserve">si on veut s’interroger sur ce qu’il peut dire et pourquoi il suscite tant d’oppositions. </w:t>
      </w:r>
    </w:p>
    <w:p w:rsidR="00B473EC" w:rsidRDefault="00FC3BE6" w:rsidP="00FC3BE6">
      <w:r>
        <w:t xml:space="preserve">D’un côté, le concept de genre est le plus adéquat pour donner réalité à la non-discrimination en raison du sexe dans la société. L’article 21 « Non-discrimination » du chapitre III « Égalité », paragraphe 1 de la Charte des droits fondamentaux de l’Union européenne dit ceci : « Est interdite, toute discrimination fondée notamment sur le sexe, la race, la couleur, les origines ethniques ou sociales, les caractéristiques génétiques, la langue, la religion ou les convictions, les opinons publiques ou toute autre opinion, l’appartenance à une minorité nationale, la fortune, la naissance, un handicap, l’âge ou l’orientation sexuelle. » Ce concept </w:t>
      </w:r>
      <w:r w:rsidR="00820941">
        <w:t xml:space="preserve">de genre </w:t>
      </w:r>
      <w:r w:rsidR="00EE6C22">
        <w:t xml:space="preserve">peut </w:t>
      </w:r>
      <w:r>
        <w:t>contribuer</w:t>
      </w:r>
      <w:r w:rsidR="00EE6C22">
        <w:t xml:space="preserve"> positivement</w:t>
      </w:r>
      <w:r w:rsidR="00AE0557">
        <w:t xml:space="preserve"> au développement d’une société réellement juste et égalitaire dans le domaine </w:t>
      </w:r>
      <w:r w:rsidR="000469B4">
        <w:t>du rapport entre</w:t>
      </w:r>
      <w:r w:rsidR="00B473EC">
        <w:t xml:space="preserve"> homme et femme et dans celui </w:t>
      </w:r>
      <w:r w:rsidR="00AE0557">
        <w:t xml:space="preserve">de l’identité sexuelle des personnes. </w:t>
      </w:r>
    </w:p>
    <w:p w:rsidR="00B473EC" w:rsidRDefault="001E5DDB" w:rsidP="00FC3BE6">
      <w:r>
        <w:t>D’un autre côté, il est fait appel au concept de genre pour exprimer le rapport de la personne individuelle aux différentes identités sexuelles possibles et pour défendre la mar</w:t>
      </w:r>
      <w:r w:rsidR="00181F92">
        <w:t>g</w:t>
      </w:r>
      <w:r>
        <w:t>e importante de choix personnel par rapport à ces identités</w:t>
      </w:r>
      <w:r w:rsidR="00720DC6">
        <w:t>, et à partir de là pour lutter contre les discriminations dont sont l’objet certains de ces choix.</w:t>
      </w:r>
      <w:r>
        <w:t xml:space="preserve"> </w:t>
      </w:r>
    </w:p>
    <w:p w:rsidR="00FC3BE6" w:rsidRDefault="00B473EC" w:rsidP="00FC3BE6">
      <w:r>
        <w:t>C</w:t>
      </w:r>
      <w:r w:rsidR="001E5DDB">
        <w:t>e</w:t>
      </w:r>
      <w:r>
        <w:t>tte seconde signification ou portée</w:t>
      </w:r>
      <w:r w:rsidR="001E5DDB">
        <w:t xml:space="preserve"> du concept de genre soulève aujourd’hui controverses et passions. Les opposants les plus radicaux à </w:t>
      </w:r>
      <w:r>
        <w:t>l’</w:t>
      </w:r>
      <w:r w:rsidR="001E5DDB">
        <w:t>usage</w:t>
      </w:r>
      <w:r>
        <w:t xml:space="preserve"> même du</w:t>
      </w:r>
      <w:r w:rsidR="001E5DDB">
        <w:t xml:space="preserve"> concept le tiennent pour être l’arme </w:t>
      </w:r>
      <w:r w:rsidR="00FC3BE6">
        <w:t>de combat des lobbies homosexuels ou LGBT</w:t>
      </w:r>
      <w:r w:rsidR="00EE6C22">
        <w:rPr>
          <w:rStyle w:val="Appelnotedebasdep"/>
        </w:rPr>
        <w:footnoteReference w:id="1"/>
      </w:r>
      <w:r w:rsidR="00FC3BE6">
        <w:t xml:space="preserve"> </w:t>
      </w:r>
      <w:r w:rsidR="00EE6C22">
        <w:t>qui viseraient</w:t>
      </w:r>
      <w:r w:rsidR="00FC3BE6">
        <w:t xml:space="preserve"> à </w:t>
      </w:r>
      <w:r w:rsidR="00FC3BE6">
        <w:lastRenderedPageBreak/>
        <w:t>détruire la famille et à déstructurer les cultures traditionnelles.</w:t>
      </w:r>
      <w:r w:rsidR="00AE0557">
        <w:t xml:space="preserve"> Les agences des Nations Unies, entre autres, mais aussi le </w:t>
      </w:r>
      <w:r w:rsidR="00AD5879">
        <w:t>Conseil</w:t>
      </w:r>
      <w:r w:rsidR="00AE0557">
        <w:t xml:space="preserve"> de l’Europe ou le Parlement européen son</w:t>
      </w:r>
      <w:r w:rsidR="00AD5879">
        <w:t>t</w:t>
      </w:r>
      <w:r w:rsidR="00AE0557">
        <w:t xml:space="preserve"> </w:t>
      </w:r>
      <w:r w:rsidR="00AD5879">
        <w:t xml:space="preserve">accusés d’être </w:t>
      </w:r>
      <w:r w:rsidR="00AE0557">
        <w:t>gangrenés par cette approche</w:t>
      </w:r>
      <w:r w:rsidR="00AD5879">
        <w:rPr>
          <w:rStyle w:val="Appelnotedebasdep"/>
        </w:rPr>
        <w:footnoteReference w:id="2"/>
      </w:r>
      <w:r w:rsidR="00AE0557">
        <w:t xml:space="preserve">. </w:t>
      </w:r>
      <w:r w:rsidR="00EE6C22">
        <w:t>L</w:t>
      </w:r>
      <w:r w:rsidR="00AE0557">
        <w:t xml:space="preserve">e nouveau programme de biologie dans le secondaire, en France, en </w:t>
      </w:r>
      <w:r w:rsidR="00AD5879">
        <w:t>serait</w:t>
      </w:r>
      <w:r w:rsidR="00AE0557">
        <w:t xml:space="preserve"> une expression</w:t>
      </w:r>
      <w:r w:rsidR="00181F92">
        <w:rPr>
          <w:rStyle w:val="Appelnotedebasdep"/>
        </w:rPr>
        <w:footnoteReference w:id="3"/>
      </w:r>
      <w:r w:rsidR="00AE0557">
        <w:t>.</w:t>
      </w:r>
      <w:r w:rsidR="00FC3BE6">
        <w:t xml:space="preserve"> </w:t>
      </w:r>
      <w:r w:rsidR="0012661F">
        <w:t xml:space="preserve">Dans les milieux ecclésiaux officiels, il y a une sorte d’anathème sur le mot lui-même. </w:t>
      </w:r>
      <w:r w:rsidR="007A6D6D">
        <w:t xml:space="preserve">La critique </w:t>
      </w:r>
      <w:r w:rsidR="0012661F">
        <w:t xml:space="preserve">radicale </w:t>
      </w:r>
      <w:r w:rsidR="007A6D6D">
        <w:t>adressée au concept est-elle pertinente ? Est-elle honnête ? Qu’en penser ?</w:t>
      </w:r>
    </w:p>
    <w:p w:rsidR="00B17A15" w:rsidRDefault="00B17A15" w:rsidP="00FC3BE6">
      <w:r>
        <w:t xml:space="preserve">Il est à remarquer qu’il n’y a pas une théorie du genre </w:t>
      </w:r>
      <w:r w:rsidR="004B478B">
        <w:t>(l’expression est utilisée de façon polémique par ceux qui critiquent toute utilisation de ce concept)</w:t>
      </w:r>
      <w:r w:rsidR="00720DC6">
        <w:t> : ceux qui utilisent positivement ce concept parlent d’études de genre ou « gender studies</w:t>
      </w:r>
      <w:r w:rsidR="00800492">
        <w:t xml:space="preserve">. </w:t>
      </w:r>
      <w:r w:rsidR="00F2033F">
        <w:t>Je distingue ici deux emplois différents du concept, en simplifiant les choses.</w:t>
      </w:r>
    </w:p>
    <w:p w:rsidR="00F2033F" w:rsidRDefault="00F2033F" w:rsidP="00FC3BE6">
      <w:r>
        <w:t xml:space="preserve">D’une part il y a une affirmation générale que les rôles joués par les femmes et les hommes dans toute société sont socialement et politiquement conditionnés et déterminés. </w:t>
      </w:r>
      <w:r w:rsidR="004B478B">
        <w:t>Le concept utilisé dès les années 50 en psychologie médicale, e</w:t>
      </w:r>
      <w:r w:rsidR="00730448">
        <w:t>s</w:t>
      </w:r>
      <w:r w:rsidR="004B478B">
        <w:t>t repris par les féministes dans les années 70 p</w:t>
      </w:r>
      <w:r w:rsidR="00730448">
        <w:t>o</w:t>
      </w:r>
      <w:r w:rsidR="004B478B">
        <w:t xml:space="preserve">ur mettre en cause les rôles sociaux imposés. </w:t>
      </w:r>
      <w:r>
        <w:t xml:space="preserve">Il y a là une évidence : le temps n’est pas si loin où il allait de soi que les filles de familles bourgeoises ne faisaient pas d’études secondaires complètes et encore moins d’études universitaires. </w:t>
      </w:r>
      <w:r w:rsidR="00EE6C22">
        <w:t>Elles</w:t>
      </w:r>
      <w:r>
        <w:t xml:space="preserve"> faisaient des études </w:t>
      </w:r>
      <w:r w:rsidR="0012661F">
        <w:t xml:space="preserve">dites </w:t>
      </w:r>
      <w:r>
        <w:t xml:space="preserve">moyennes où on enseignait couture, cuisine, etc. Et elles pouvaient </w:t>
      </w:r>
      <w:r w:rsidR="00800492">
        <w:t>poursuivre</w:t>
      </w:r>
      <w:r>
        <w:t xml:space="preserve"> en études de puéricultrices</w:t>
      </w:r>
      <w:r w:rsidR="00EE6C22">
        <w:t>, d’institutrices</w:t>
      </w:r>
      <w:r>
        <w:t xml:space="preserve"> ou d’infirmières. Il allait de soi qu’une femme ne pouvait accéder à la magistrature (elle n’était pas assez rationnelle pour cela), ni à l’armée. </w:t>
      </w:r>
      <w:r w:rsidR="00730448">
        <w:t>A</w:t>
      </w:r>
      <w:r>
        <w:t xml:space="preserve">ujourd’hui encore, les femmes restent très minoritaires dans les postes de responsabilité (il y a dit-on un plafond de verre qui les empêche d’y accéder), et dans l’ensemble, pour la même fonction, elles sont moins bien payées que les hommes. </w:t>
      </w:r>
      <w:r w:rsidR="00EE6C22">
        <w:t>O</w:t>
      </w:r>
      <w:r>
        <w:t>n sait</w:t>
      </w:r>
      <w:r w:rsidR="00CE218F">
        <w:t>,</w:t>
      </w:r>
      <w:r>
        <w:t xml:space="preserve"> par exemple</w:t>
      </w:r>
      <w:r w:rsidR="00CE218F">
        <w:t>,</w:t>
      </w:r>
      <w:r>
        <w:t xml:space="preserve"> que si le taux de fécondité est si bas en Allemagne c’est </w:t>
      </w:r>
      <w:r w:rsidR="00CE218F">
        <w:t xml:space="preserve">dû plus ou moins largement au fait </w:t>
      </w:r>
      <w:r>
        <w:t xml:space="preserve">que culturellement il va de soi que dès qu’elle a un enfant la femme doit quitter le travail, parce que sa place est de s’occuper de son ou de ses enfants. Avec pour </w:t>
      </w:r>
      <w:r w:rsidR="0012661F">
        <w:t>conséquences</w:t>
      </w:r>
      <w:r>
        <w:t xml:space="preserve"> qu</w:t>
      </w:r>
      <w:r w:rsidR="00CE218F">
        <w:t>’</w:t>
      </w:r>
      <w:r>
        <w:t>il n’y a pratiquement pas de crèches en Allemagne (la politique est de ce point de vue en train de changer doucement</w:t>
      </w:r>
      <w:r w:rsidR="007A6D6D">
        <w:t xml:space="preserve"> en raison du déficit démographique lié à un taux de fécondité de 1,4 enfant par femme</w:t>
      </w:r>
      <w:r>
        <w:t>) et que donc les femmes sont obligées de choisir : ou l’enfant ou la carrière</w:t>
      </w:r>
      <w:r w:rsidR="00F8080D">
        <w:t>, et beaucoup d’universitaires choisissent dès lors la carrière</w:t>
      </w:r>
      <w:r w:rsidR="007A6D6D">
        <w:t xml:space="preserve"> et n’ont pas d’enfant</w:t>
      </w:r>
      <w:r w:rsidR="00F8080D">
        <w:t>.</w:t>
      </w:r>
    </w:p>
    <w:p w:rsidR="004A218A" w:rsidRDefault="004A218A" w:rsidP="00FC3BE6">
      <w:r>
        <w:lastRenderedPageBreak/>
        <w:t>C’est en ce sens que le Conseil de l’Europe, dans la Convention sur la prévention et la lutte contre la violence à l’égard des femmes et la violence domestique, adopté</w:t>
      </w:r>
      <w:r w:rsidR="00A57D43">
        <w:t>e</w:t>
      </w:r>
      <w:r>
        <w:t xml:space="preserve"> en mai 2011, dans son article 3,c définit le genre : « Le terme “genre” désigne les rôles, les comportements, les activités et les attributions socialement construits, qu’une société donnée considère comme appropriés pour les femmes et les hommes</w:t>
      </w:r>
      <w:r>
        <w:rPr>
          <w:rStyle w:val="Appelnotedebasdep"/>
        </w:rPr>
        <w:footnoteReference w:id="4"/>
      </w:r>
      <w:r>
        <w:t>. »</w:t>
      </w:r>
    </w:p>
    <w:p w:rsidR="00F8080D" w:rsidRDefault="00F8080D" w:rsidP="00FC3BE6">
      <w:r>
        <w:t xml:space="preserve">C’est en ce sens </w:t>
      </w:r>
      <w:r w:rsidR="00A57D43">
        <w:t xml:space="preserve">aussi </w:t>
      </w:r>
      <w:r>
        <w:t>que la CIDSE (Agence de coopération d</w:t>
      </w:r>
      <w:r w:rsidR="00730448">
        <w:t xml:space="preserve">es </w:t>
      </w:r>
      <w:r>
        <w:t xml:space="preserve">ONG catholiques européennes de développement) a publié récemment un document sous le titre : « Égalité des sexes : </w:t>
      </w:r>
      <w:r w:rsidR="009B6B36">
        <w:t>Contours et définition d</w:t>
      </w:r>
      <w:r>
        <w:t>u concept selon le point de vue de la CIDSE ». Ce document</w:t>
      </w:r>
      <w:r w:rsidR="0012661F">
        <w:t>,</w:t>
      </w:r>
      <w:r>
        <w:t xml:space="preserve"> est-il </w:t>
      </w:r>
      <w:r w:rsidR="0012661F">
        <w:t>dit</w:t>
      </w:r>
      <w:r>
        <w:t xml:space="preserve"> en introduction</w:t>
      </w:r>
      <w:r w:rsidR="0012661F">
        <w:t>,</w:t>
      </w:r>
      <w:r>
        <w:t xml:space="preserve"> « cherche à apporter une définition du concept de </w:t>
      </w:r>
      <w:r>
        <w:rPr>
          <w:i/>
          <w:color w:val="000000"/>
        </w:rPr>
        <w:t>genre</w:t>
      </w:r>
      <w:r>
        <w:t xml:space="preserve"> d’une part, et de </w:t>
      </w:r>
      <w:r>
        <w:rPr>
          <w:i/>
          <w:color w:val="000000"/>
        </w:rPr>
        <w:t>l’égalité des sexes</w:t>
      </w:r>
      <w:r>
        <w:t xml:space="preserve"> d’autre part ».</w:t>
      </w:r>
      <w:r w:rsidR="00DB2BBE">
        <w:t xml:space="preserve"> </w:t>
      </w:r>
      <w:r w:rsidR="00CE218F">
        <w:t xml:space="preserve">Et il précise : </w:t>
      </w:r>
      <w:r w:rsidR="00DB2BBE">
        <w:t xml:space="preserve">« Pour la CIDSE et ses organisations membres, le concept de </w:t>
      </w:r>
      <w:r w:rsidR="00DB2BBE">
        <w:rPr>
          <w:i/>
          <w:color w:val="000000"/>
        </w:rPr>
        <w:t>genre</w:t>
      </w:r>
      <w:r w:rsidR="00DB2BBE">
        <w:t xml:space="preserve"> renvoie aux rôles socialement construits, attributions, activités et opportunités qu’une société donnée estime appropriés pour les femmes et pour les hommes et qui les leur incul</w:t>
      </w:r>
      <w:r w:rsidR="00B27C5D">
        <w:t>que</w:t>
      </w:r>
      <w:r w:rsidR="00DB2BBE">
        <w:t xml:space="preserve"> au travers de ses processus de socialisation. Elle les institutionnalise par son système d’éducation</w:t>
      </w:r>
      <w:r w:rsidR="00B66853">
        <w:t>,</w:t>
      </w:r>
      <w:r w:rsidR="00DB2BBE">
        <w:t xml:space="preserve"> ses systèmes politiques et économiques, de même que par sa législation, sa culture, ses traditions et sa religion. Le </w:t>
      </w:r>
      <w:r w:rsidR="00DB2BBE">
        <w:rPr>
          <w:i/>
          <w:color w:val="000000"/>
        </w:rPr>
        <w:t>genre</w:t>
      </w:r>
      <w:r w:rsidR="00DB2BBE">
        <w:t xml:space="preserve"> se réfère aux stéréotypes qui façonnent et conditionnent les relations entre les femmes et les hommes, leurs rôles dans la société, leur accès aux ressources, à la santé, à l’éducation et aux prises de décision</w:t>
      </w:r>
      <w:r w:rsidR="0012661F">
        <w:rPr>
          <w:rStyle w:val="Appelnotedebasdep"/>
        </w:rPr>
        <w:footnoteReference w:id="5"/>
      </w:r>
      <w:r w:rsidR="00DB2BBE">
        <w:t>. »</w:t>
      </w:r>
    </w:p>
    <w:p w:rsidR="005A2504" w:rsidRPr="005A2504" w:rsidRDefault="005A2504" w:rsidP="00FC3BE6">
      <w:r>
        <w:t>Un article tout récent d’</w:t>
      </w:r>
      <w:r>
        <w:rPr>
          <w:i/>
        </w:rPr>
        <w:t xml:space="preserve">Alternatives économiques </w:t>
      </w:r>
      <w:r>
        <w:t>(avril 2015) est intitulé « Le genre, une notion qui dérange ». En introduction il est dit ceci : « S’intéresser au genre, c’est analyser la construction des rôles sociaux attachés à l’un ou l’autre des sexes, tout en étant attentif à la hiérarchisation et aux rapports de pouvoir qui les relient dans les différentes sphères de la vie. » Le cadre de pensée de cette approche du genre est clairement l’hétérosexualité.</w:t>
      </w:r>
    </w:p>
    <w:p w:rsidR="009B6B36" w:rsidRDefault="009B6B36" w:rsidP="00FC3BE6">
      <w:r>
        <w:t xml:space="preserve">On peut dire que, dans le contexte actuel, il s’agit là d’une définition </w:t>
      </w:r>
      <w:r w:rsidR="00A57D43">
        <w:t>limitée</w:t>
      </w:r>
      <w:r>
        <w:t xml:space="preserve"> </w:t>
      </w:r>
      <w:r w:rsidR="0012661F">
        <w:t xml:space="preserve">et opératoire </w:t>
      </w:r>
      <w:r>
        <w:t>d</w:t>
      </w:r>
      <w:r w:rsidR="003241B9">
        <w:t>u concept de genre, qui correspond aux luttes du féminisme classique.</w:t>
      </w:r>
    </w:p>
    <w:p w:rsidR="00E77C53" w:rsidRDefault="00E77C53" w:rsidP="00FC3BE6">
      <w:r>
        <w:t>Au sein des études de genre, mouvement important né aux États-Unis</w:t>
      </w:r>
      <w:r w:rsidR="00641292">
        <w:rPr>
          <w:rStyle w:val="Appelnotedebasdep"/>
        </w:rPr>
        <w:footnoteReference w:id="6"/>
      </w:r>
      <w:r w:rsidR="00003B34">
        <w:t>, divers auteurs et surtout auteures</w:t>
      </w:r>
      <w:r>
        <w:t xml:space="preserve"> v</w:t>
      </w:r>
      <w:r w:rsidR="00003B34">
        <w:t>ont</w:t>
      </w:r>
      <w:r>
        <w:t xml:space="preserve"> plus loin en établissant une </w:t>
      </w:r>
      <w:r w:rsidR="00730448">
        <w:t xml:space="preserve">double </w:t>
      </w:r>
      <w:r>
        <w:t>distinction</w:t>
      </w:r>
      <w:r w:rsidR="00652ADE">
        <w:t>. Il faut d’une part distinguer</w:t>
      </w:r>
      <w:r w:rsidR="00730448">
        <w:t xml:space="preserve"> </w:t>
      </w:r>
      <w:r>
        <w:t xml:space="preserve">le sexe biologique, masculin ou féminin, et </w:t>
      </w:r>
      <w:r w:rsidR="00652ADE">
        <w:t>l’</w:t>
      </w:r>
      <w:r>
        <w:t>identité vécue comme homme ou comme femme, les deux ne se recouvrant pas nécessairement</w:t>
      </w:r>
      <w:r w:rsidR="0012661F">
        <w:t xml:space="preserve"> (une personne ayant biologiquement le sexe masculin peut se sentir femme, et inversement)</w:t>
      </w:r>
      <w:r w:rsidR="00652ADE">
        <w:t>. Il faut d’autre part distinguer le</w:t>
      </w:r>
      <w:r>
        <w:t xml:space="preserve"> </w:t>
      </w:r>
      <w:r w:rsidR="00246F59">
        <w:t xml:space="preserve">sexe biologique et </w:t>
      </w:r>
      <w:r w:rsidR="00652ADE">
        <w:t xml:space="preserve">le </w:t>
      </w:r>
      <w:r w:rsidR="00246F59">
        <w:t>rapport à l’autre qui peut être d’orientation soit hétérosexuelle soit homosexuelle, cette orientation étant de façon plus ou moins marqu</w:t>
      </w:r>
      <w:r w:rsidR="00CE218F">
        <w:t>é</w:t>
      </w:r>
      <w:r w:rsidR="00246F59">
        <w:t xml:space="preserve">e l’objet d’un choix possible, le genre étant </w:t>
      </w:r>
      <w:r w:rsidR="00A57D43">
        <w:t xml:space="preserve">lui-même </w:t>
      </w:r>
      <w:r w:rsidR="00246F59">
        <w:t>un choix volontaire et quotidien</w:t>
      </w:r>
      <w:r w:rsidR="007A6D6D">
        <w:rPr>
          <w:rStyle w:val="Appelnotedebasdep"/>
        </w:rPr>
        <w:footnoteReference w:id="7"/>
      </w:r>
      <w:r w:rsidR="00246F59">
        <w:t>.</w:t>
      </w:r>
      <w:r w:rsidR="004F6D47">
        <w:t xml:space="preserve"> </w:t>
      </w:r>
      <w:r w:rsidR="0012661F">
        <w:t xml:space="preserve">L’expression de </w:t>
      </w:r>
      <w:r w:rsidR="00C30665">
        <w:t xml:space="preserve">Myriam Dieleman citée en introduction est caractéristique à cet égard : elle parle d’une préférence sexuelle, ce qui suggère un choix personnel libre et conscient, plutôt que d’orientation sexuelle. </w:t>
      </w:r>
      <w:r w:rsidR="004F6D47">
        <w:t xml:space="preserve">Il s’agit dès lors de penser le rapport </w:t>
      </w:r>
      <w:r w:rsidR="004F6D47">
        <w:lastRenderedPageBreak/>
        <w:t>entre sexe biologique et anatomique, sexualité et genre non à partir de la présomption d’hétérosexualité, mais à partir des marges.</w:t>
      </w:r>
      <w:r w:rsidR="00641292">
        <w:t xml:space="preserve"> Pour certaines auteures, derrière le genre, il n’y a pas un acteur (un je, une personne) qui serait déjà genré : « Le genre n’est pas notre essence, qui se révélerait dans nos pratiques. Ce sont les pratiques du corps dont la répétition institue le genre. L’identité sexuelle ne préexiste pas à nos actions : derrière l’action ou avant elle, il ne faut pas supposer quelque acteur</w:t>
      </w:r>
      <w:r w:rsidR="00641292">
        <w:rPr>
          <w:rStyle w:val="Appelnotedebasdep"/>
        </w:rPr>
        <w:footnoteReference w:id="8"/>
      </w:r>
      <w:r w:rsidR="00641292">
        <w:t>.</w:t>
      </w:r>
      <w:r w:rsidR="00D775FD">
        <w:t xml:space="preserve"> » On dénonce </w:t>
      </w:r>
      <w:r w:rsidR="003254F0">
        <w:t xml:space="preserve">une métaphysique de la substance. Ainsi, selon Wittig, « le sujet, le soi, l’individu sont autant de concepts fallacieux, puisqu’ils transforment en substance des unités fictives qui, au départ, n’ont qu’une réalité linguistique » (cité par Butler, p. 90). Il y </w:t>
      </w:r>
      <w:r w:rsidR="00A57D43">
        <w:t xml:space="preserve">a </w:t>
      </w:r>
      <w:r w:rsidR="003254F0">
        <w:t>ainsi une critique du féminisme classique : la catégorie ‘femmes’ sur laquelle repose ce féminisme n’a pas de fondement : « Le “nous” féministe n’e</w:t>
      </w:r>
      <w:r w:rsidR="00A57D43">
        <w:t>s</w:t>
      </w:r>
      <w:r w:rsidR="003254F0">
        <w:t>t jamais qu’une construction phantasmatique</w:t>
      </w:r>
      <w:r w:rsidR="009055CE">
        <w:t> »</w:t>
      </w:r>
      <w:r w:rsidR="00A57D43">
        <w:t>, dit Judith</w:t>
      </w:r>
      <w:r w:rsidR="009055CE">
        <w:t xml:space="preserve"> Butler </w:t>
      </w:r>
      <w:r w:rsidR="00A57D43">
        <w:t>(</w:t>
      </w:r>
      <w:r w:rsidR="009055CE">
        <w:t>p. 267)</w:t>
      </w:r>
      <w:r w:rsidR="00A57D43">
        <w:t>, car comme lesbienne, elle ne se reconnaît pas dans ce nous</w:t>
      </w:r>
      <w:r w:rsidR="003254F0">
        <w:t>.</w:t>
      </w:r>
      <w:r w:rsidR="009055CE">
        <w:t xml:space="preserve"> </w:t>
      </w:r>
      <w:r w:rsidR="003254F0">
        <w:t xml:space="preserve">Et on met en cause </w:t>
      </w:r>
      <w:r w:rsidR="00D775FD">
        <w:t>le fait que « les normes de genre (le dimorphisme idéal, la complémentarité hétérosexuelle des corps, les idéaux et la règle de ce qui est proprement ou improprement masculin ou féminin [...]) établissent ce qui sera intelligiblement humain ou ne sera pas » (Butler, p. 47). On peut dès lors se demander : « Être de sexe féminin est-il un “fait nature</w:t>
      </w:r>
      <w:r w:rsidR="00955B30">
        <w:t>l</w:t>
      </w:r>
      <w:r w:rsidR="00D775FD">
        <w:t>” ou une performance culturelle ? »</w:t>
      </w:r>
      <w:r w:rsidR="00955B30">
        <w:t xml:space="preserve"> (p. 53)</w:t>
      </w:r>
      <w:r w:rsidR="00B66853">
        <w:t>.</w:t>
      </w:r>
    </w:p>
    <w:p w:rsidR="00B66853" w:rsidRDefault="00B66853" w:rsidP="00FC3BE6">
      <w:r>
        <w:t>Le concept de genre est donc orienté soit sur la question du rapport entre homme et femme, soit sur la question des identités sexuelles.</w:t>
      </w:r>
    </w:p>
    <w:p w:rsidR="00246F59" w:rsidRDefault="00246F59" w:rsidP="00FC3BE6">
      <w:r>
        <w:t>Les résistances fortes par rapport aux études de genre, dans les Églises et en particulier dans l’Église catholique</w:t>
      </w:r>
      <w:r w:rsidR="00955B30">
        <w:t>,</w:t>
      </w:r>
      <w:r w:rsidR="005D5C8A">
        <w:t xml:space="preserve"> prennent appui sur les expressions les plus radicales de</w:t>
      </w:r>
      <w:r w:rsidR="00955B30">
        <w:t xml:space="preserve"> ce</w:t>
      </w:r>
      <w:r w:rsidR="005D5C8A">
        <w:t>s études</w:t>
      </w:r>
      <w:r w:rsidR="00B66853">
        <w:t xml:space="preserve"> de genre</w:t>
      </w:r>
      <w:r w:rsidR="005D5C8A">
        <w:t xml:space="preserve"> (mise en cause du primat de l’hétérosexualité</w:t>
      </w:r>
      <w:r w:rsidR="00CE218F">
        <w:t xml:space="preserve"> et valorisation de l’homosexualité</w:t>
      </w:r>
      <w:r w:rsidR="005D5C8A">
        <w:t>)</w:t>
      </w:r>
      <w:r w:rsidR="00B66853">
        <w:t>, en les généralisant,</w:t>
      </w:r>
      <w:r w:rsidR="005D5C8A">
        <w:t xml:space="preserve"> </w:t>
      </w:r>
      <w:r w:rsidR="00955B30">
        <w:t>pour discréditer toute la problématique du genre</w:t>
      </w:r>
      <w:r w:rsidR="00C30665">
        <w:t xml:space="preserve">. </w:t>
      </w:r>
      <w:r w:rsidR="00B27C5D">
        <w:t>C’est, à mon avis, la mise en œuvre d’</w:t>
      </w:r>
      <w:r w:rsidR="00C30665">
        <w:t>une stratégie qui permet</w:t>
      </w:r>
      <w:r w:rsidR="00955B30">
        <w:t xml:space="preserve"> </w:t>
      </w:r>
      <w:r w:rsidR="00C30665">
        <w:t>d’é</w:t>
      </w:r>
      <w:r w:rsidR="005D5C8A">
        <w:t xml:space="preserve">viter de rencontrer les </w:t>
      </w:r>
      <w:r w:rsidR="00C30665">
        <w:t xml:space="preserve">critiques </w:t>
      </w:r>
      <w:r w:rsidR="005D5C8A">
        <w:t xml:space="preserve">qui portent sur les modèles sociaux inégalitaires hommes/femmes, et </w:t>
      </w:r>
      <w:r w:rsidR="00C30665">
        <w:t>ainsi</w:t>
      </w:r>
      <w:r w:rsidR="00CE218F">
        <w:t xml:space="preserve"> </w:t>
      </w:r>
      <w:r w:rsidR="00730448">
        <w:t>empêcher</w:t>
      </w:r>
      <w:r w:rsidR="00CE218F">
        <w:t xml:space="preserve"> </w:t>
      </w:r>
      <w:r w:rsidR="005D5C8A">
        <w:t>que cette approche ne soit aussi appliquée au fonctionnement même de l’Église et aux structures de pouvoir qui la caractérisent</w:t>
      </w:r>
      <w:r>
        <w:t>.</w:t>
      </w:r>
      <w:r w:rsidR="00652ADE">
        <w:t xml:space="preserve"> En clair : l’Église craint, sans le dire, qu’introduire et valoriser la problématique du genre mette en cause la structure des ministères</w:t>
      </w:r>
      <w:r w:rsidR="00047802">
        <w:t>, ou autrement dit le rôle social sacralisé de l’homme au sein de l’Église.</w:t>
      </w:r>
    </w:p>
    <w:p w:rsidR="00B66853" w:rsidRPr="00DB2BBE" w:rsidRDefault="00B66853" w:rsidP="003A1DF5">
      <w:r>
        <w:t xml:space="preserve">Cela dit, faut-il avoir peur du genre ? Je </w:t>
      </w:r>
      <w:r w:rsidR="00C30665">
        <w:t xml:space="preserve">suis convaincu que non, mais je </w:t>
      </w:r>
      <w:r>
        <w:t xml:space="preserve">dirais que parfois il y a </w:t>
      </w:r>
      <w:r w:rsidR="00047802">
        <w:t xml:space="preserve">bien </w:t>
      </w:r>
      <w:r>
        <w:t xml:space="preserve">lieu de s’inquiéter de l’utilisation qui est faite de ce concept. </w:t>
      </w:r>
      <w:r w:rsidR="00C30665">
        <w:t xml:space="preserve">Vincent </w:t>
      </w:r>
      <w:r w:rsidR="00C30665" w:rsidRPr="003A1DF5">
        <w:t>Peillon</w:t>
      </w:r>
      <w:r w:rsidR="00C30665">
        <w:rPr>
          <w:smallCaps/>
        </w:rPr>
        <w:t>,</w:t>
      </w:r>
      <w:r w:rsidR="00C30665">
        <w:t xml:space="preserve"> </w:t>
      </w:r>
      <w:r>
        <w:t xml:space="preserve">ministre de l’éducation </w:t>
      </w:r>
      <w:r w:rsidR="003A1DF5">
        <w:t xml:space="preserve">nationale </w:t>
      </w:r>
      <w:r>
        <w:t xml:space="preserve">en </w:t>
      </w:r>
      <w:r w:rsidR="003A1DF5">
        <w:t>France,</w:t>
      </w:r>
      <w:r w:rsidR="003A1DF5" w:rsidRPr="003A1DF5">
        <w:t xml:space="preserve"> </w:t>
      </w:r>
      <w:r w:rsidR="003A1DF5">
        <w:t>a déclaré dans une interview à propos du rôle de l’école publique : « Le but de la morale laïque est de permettre à chaque élève de s’émanciper, car le point de départ de la laïcité c’est le respect absolu de la liberté de conscience. Pour donner la liberté du choix, il faut être capable d’arracher l’élève à tous les déterminismes, familial, ethnique, social, intellectuel, pour après faire un choix</w:t>
      </w:r>
      <w:r w:rsidR="003A1DF5">
        <w:rPr>
          <w:rStyle w:val="Appelnotedebasdep"/>
        </w:rPr>
        <w:footnoteReference w:id="9"/>
      </w:r>
      <w:r w:rsidR="003A1DF5">
        <w:t xml:space="preserve">. » Il n’est pas question directement du genre, mais on est dans le contexte des débats houleux sur le mariage pour tous et des polémiques sur la place de l’islam en France. Il y a de quoi s’interroger sur un projet éducatif qui vise à faire table rase </w:t>
      </w:r>
      <w:r w:rsidR="00C30665">
        <w:t>de</w:t>
      </w:r>
      <w:r w:rsidR="003A1DF5">
        <w:t xml:space="preserve"> toute la culture </w:t>
      </w:r>
      <w:r w:rsidR="008542FE">
        <w:t xml:space="preserve">familiale dans laquelle baigne un jeune pour le conduire à </w:t>
      </w:r>
      <w:r w:rsidR="008542FE">
        <w:lastRenderedPageBreak/>
        <w:t xml:space="preserve">intérioriser les valeurs de la République. </w:t>
      </w:r>
      <w:r w:rsidR="00047802">
        <w:t xml:space="preserve">À la limite et pour certains, il s’agit aussi de déconstruire l’identité sexuelle des enfants, garçons ou filles, afin qu’ils déterminent eux-mêmes leur identité. </w:t>
      </w:r>
      <w:r w:rsidR="008C2898">
        <w:t xml:space="preserve">Autrement dit, l’éducation doit-elle de quelque manière ébranler chez la majorité des enfants la cohérence vécue sans problème entre leur sexe biologique et leur identité de garçon ou de fille pour les ouvrir à une attitude positive vis-à-vis de ceux et celles qui ne vivent pas cette cohérence. </w:t>
      </w:r>
      <w:r w:rsidR="008542FE">
        <w:t>Qu’il faille développer un esprit critique,</w:t>
      </w:r>
      <w:r w:rsidR="008C2898">
        <w:t xml:space="preserve"> tout le monde sera d’accord, </w:t>
      </w:r>
      <w:r w:rsidR="008542FE">
        <w:t xml:space="preserve">mais </w:t>
      </w:r>
      <w:r w:rsidR="008C2898">
        <w:t>faut-il pour autant « </w:t>
      </w:r>
      <w:r w:rsidR="008542FE">
        <w:t>arracher l’élève à tous les déterminismes »</w:t>
      </w:r>
      <w:r w:rsidR="00C30665">
        <w:t> ? On ne serait pas très loin du totalitarisme idéologique et éducatif soviétique.</w:t>
      </w:r>
    </w:p>
    <w:p w:rsidR="00C02636" w:rsidRDefault="00C02636" w:rsidP="00FC3BE6">
      <w:r>
        <w:t xml:space="preserve">Ma question </w:t>
      </w:r>
      <w:r w:rsidR="00B66853">
        <w:t>portant sur les études de genre</w:t>
      </w:r>
      <w:r w:rsidR="00730448">
        <w:t xml:space="preserve"> est celle-ci</w:t>
      </w:r>
      <w:r>
        <w:t> : l’hétérosexualité n’est-elle</w:t>
      </w:r>
      <w:r w:rsidR="0092771E">
        <w:t>, d’un point de vue anthropologique,</w:t>
      </w:r>
      <w:r>
        <w:t xml:space="preserve"> qu’une préférence sexuelle parmi d</w:t>
      </w:r>
      <w:r w:rsidR="0092771E">
        <w:t xml:space="preserve">’autres ? </w:t>
      </w:r>
      <w:r w:rsidR="00CE218F">
        <w:t xml:space="preserve">N’est-elle qu’une structure de pouvoir et de domination d’ordre politique ? </w:t>
      </w:r>
      <w:r w:rsidR="0092771E">
        <w:t>Cela signifie-t-il que le sujet humain ordinaire</w:t>
      </w:r>
      <w:r w:rsidR="00CE218F">
        <w:t>, s’il n’est pas socialement et politiquement contrôlé</w:t>
      </w:r>
      <w:r w:rsidR="00CE218F" w:rsidRPr="00CE218F">
        <w:t xml:space="preserve"> </w:t>
      </w:r>
      <w:r w:rsidR="00955B30">
        <w:t xml:space="preserve">par </w:t>
      </w:r>
      <w:r w:rsidR="00CE218F">
        <w:t>un régim</w:t>
      </w:r>
      <w:r w:rsidR="00641292">
        <w:t>e d’hétérosexualité obligatoire</w:t>
      </w:r>
      <w:r w:rsidR="00CE218F">
        <w:t>, peut</w:t>
      </w:r>
      <w:r w:rsidR="0092771E">
        <w:t xml:space="preserve"> </w:t>
      </w:r>
      <w:r w:rsidR="00CE218F">
        <w:t>préférer</w:t>
      </w:r>
      <w:r w:rsidR="0092771E">
        <w:t xml:space="preserve"> </w:t>
      </w:r>
      <w:r w:rsidR="00CE218F">
        <w:t>en toute liberté</w:t>
      </w:r>
      <w:r w:rsidR="0092771E">
        <w:t xml:space="preserve"> être hétéro ou homo, ou encore l’un et l’autre selon les circonstances</w:t>
      </w:r>
      <w:r w:rsidR="00CE218F">
        <w:t> ?</w:t>
      </w:r>
    </w:p>
    <w:p w:rsidR="0092771E" w:rsidRDefault="0092771E" w:rsidP="0092771E">
      <w:pPr>
        <w:pStyle w:val="Titre1"/>
      </w:pPr>
      <w:r>
        <w:t>Quelques convictions</w:t>
      </w:r>
    </w:p>
    <w:p w:rsidR="00296740" w:rsidRDefault="00296740" w:rsidP="00296740">
      <w:r>
        <w:t>Le principe de non-discrimination pour raison de sexe ou d’orientation sexuelle est un droit fondamental dans nos sociétés démocratique. Sa pleine effectivité est loin d’être obtenue.</w:t>
      </w:r>
      <w:r w:rsidR="007A0B80">
        <w:t xml:space="preserve"> Au-delà des déclarations officielles, il y a là un combat permanent à mener.</w:t>
      </w:r>
    </w:p>
    <w:p w:rsidR="00296740" w:rsidRDefault="00296740" w:rsidP="00296740">
      <w:r>
        <w:t>L’orientation sexuelle de la personne, c’est-à-dire la tendance prédominante hétéro ou homo, n’a pas à l’heure actuelle d’explication scientifique satisfaisante. L’homosexualité n’est pas une maladie ; elle apparaît comme une orientation ou tendance innée</w:t>
      </w:r>
      <w:r w:rsidR="00047802">
        <w:t xml:space="preserve"> mais minoritaire</w:t>
      </w:r>
      <w:r>
        <w:t>, dont la cause n’est pas expliquée.</w:t>
      </w:r>
      <w:r w:rsidR="007A0B80">
        <w:t xml:space="preserve"> Cette orientation ou tendance peut-être brimée ou favorisée par la culture ou par l’éducation.</w:t>
      </w:r>
    </w:p>
    <w:p w:rsidR="00296740" w:rsidRDefault="00296740" w:rsidP="00296740">
      <w:r>
        <w:t xml:space="preserve">Chez toute personne, sans doute, les désirs d’ordre sexuel présentent une certaine plasticité et une ambivalence : des personnes qui vivent dans une perspective clairement hétérosexuelle peuvent avoir aussi par moments des phantasmes </w:t>
      </w:r>
      <w:r w:rsidR="00A20885">
        <w:t xml:space="preserve">ou des désirs </w:t>
      </w:r>
      <w:r>
        <w:t>homosexuels.</w:t>
      </w:r>
    </w:p>
    <w:p w:rsidR="00D94912" w:rsidRDefault="00D94912" w:rsidP="00296740">
      <w:r>
        <w:t xml:space="preserve">Le développement des méthodes contraceptives a permis de séparer de façon simple l’acte de la rencontre sexuelle du processus de reproduction humaine. Cette distinction n’est pas d’abord la conséquence de la contraception, </w:t>
      </w:r>
      <w:r w:rsidR="00AD5879">
        <w:t xml:space="preserve">car </w:t>
      </w:r>
      <w:r>
        <w:t>celle-ci répond à une demande et une attente de distinction (qui était d’ailleurs cherchée et pratiquée de diverses manières souvent peu efficaces et peu satisfaisantes</w:t>
      </w:r>
      <w:r w:rsidR="00047802">
        <w:t xml:space="preserve"> depuis longtemps</w:t>
      </w:r>
      <w:r>
        <w:t>). La contraception a permis aux femmes une forme d’autonomie nouvelle et de maîtrise de leur propre corps.</w:t>
      </w:r>
    </w:p>
    <w:p w:rsidR="009D3FBD" w:rsidRDefault="009D3FBD" w:rsidP="009D3FBD">
      <w:r>
        <w:t>La sexualité est une dimension personnelle essentielle de tout être humain. En même temps la sexualité présente une dimension fondamentalement relationnelle, que ce soit sous forme hétérosexuelle ou homosexuelle.</w:t>
      </w:r>
      <w:r w:rsidR="008C76C7">
        <w:t xml:space="preserve"> La relation sexuelle est expression du lien et de l’attachement interpersonnel.</w:t>
      </w:r>
    </w:p>
    <w:p w:rsidR="00D94912" w:rsidRDefault="00D94912" w:rsidP="00296740">
      <w:r>
        <w:t xml:space="preserve">Le désir de l’autre qui trouve son accomplissement dans l’amour s’exprime dans de multiples gestes corporels de tendresse et dans la rencontre sexuelle. </w:t>
      </w:r>
      <w:r w:rsidR="009D3FBD">
        <w:t xml:space="preserve">Ce n’est que de </w:t>
      </w:r>
      <w:r w:rsidR="009D3FBD">
        <w:lastRenderedPageBreak/>
        <w:t xml:space="preserve">façon récente </w:t>
      </w:r>
      <w:r w:rsidR="007A0B80">
        <w:t xml:space="preserve">(Vatican II) </w:t>
      </w:r>
      <w:r w:rsidR="009D3FBD">
        <w:t>que l’enseignement moral de l’Église reconnaît deux fins non hiérarchisée au mariage s’exprimant dans la relation sexuelle : l’amour mutuel et la fécondité. Cette dimension de l’amour</w:t>
      </w:r>
      <w:r>
        <w:t xml:space="preserve"> qui est vrai</w:t>
      </w:r>
      <w:r w:rsidR="00730448">
        <w:t>e</w:t>
      </w:r>
      <w:r>
        <w:t xml:space="preserve"> au sein de la relation hétérosexuelle est vrai</w:t>
      </w:r>
      <w:r w:rsidR="00730448">
        <w:t>e</w:t>
      </w:r>
      <w:r>
        <w:t xml:space="preserve"> aussi au sein de la relation homosexuelle. </w:t>
      </w:r>
      <w:r w:rsidR="00C75DAF">
        <w:t>Mais l’Église refuse de le reconnaître.</w:t>
      </w:r>
    </w:p>
    <w:p w:rsidR="00D94912" w:rsidRDefault="00D94912" w:rsidP="00296740">
      <w:r>
        <w:t>La relation et le lien interpersonnel homosexuel demande</w:t>
      </w:r>
      <w:r w:rsidR="00955B30">
        <w:t>nt</w:t>
      </w:r>
      <w:r>
        <w:t xml:space="preserve"> à être reconnu</w:t>
      </w:r>
      <w:r w:rsidR="00955B30">
        <w:t>s</w:t>
      </w:r>
      <w:r>
        <w:t xml:space="preserve"> institutionnellement et sociétalement, et cela sous une forme qui ne soit pas discriminante en ce qui concerne le droit de ces personnes. De ce point de vue, personnellement, je regrette </w:t>
      </w:r>
      <w:r w:rsidR="006512A6">
        <w:t xml:space="preserve">l’utilisation du mot mariage, parce qu’il désigne deux réalités anthropologiques différentes dans le cas de l’union hétérosexuelle et de l’union homosexuelle, en ce que l’union hétérosexuelle est la seule à être par elle-même </w:t>
      </w:r>
      <w:r w:rsidR="00730448">
        <w:t xml:space="preserve">en principe </w:t>
      </w:r>
      <w:r w:rsidR="006512A6">
        <w:t>ouverte à la fécondité reproductive, quelle que soit la décision concrète des partenaires de cette relation</w:t>
      </w:r>
      <w:r w:rsidR="00C75DAF">
        <w:t xml:space="preserve"> ou  les aléas physiologiques source d’infécondité</w:t>
      </w:r>
      <w:r w:rsidR="006512A6">
        <w:t>. Je suis cependant convaincu du fait que sociétalement la reconnaissance du mariage homosexuel est devenue un fait, qu’on ne reviendra pas en arrière et qu’il se généralisera dans nos pays.</w:t>
      </w:r>
      <w:r w:rsidR="00E01002">
        <w:t xml:space="preserve"> De ce point de vue, les débats autour du mariage pour tous en France, enflammés par les passions, ont manqué de raison.</w:t>
      </w:r>
    </w:p>
    <w:p w:rsidR="00296740" w:rsidRDefault="00296740" w:rsidP="00296740">
      <w:pPr>
        <w:pStyle w:val="Titre1"/>
      </w:pPr>
      <w:r>
        <w:t>Quelques interrogations et questionnements</w:t>
      </w:r>
    </w:p>
    <w:p w:rsidR="009D3FBD" w:rsidRDefault="009D3FBD" w:rsidP="00296740">
      <w:r>
        <w:t>Des militantes de la théorie du genre lient souvent androcentrisme</w:t>
      </w:r>
      <w:r w:rsidR="00E77C53">
        <w:t xml:space="preserve"> (ou phallogocentrisme)</w:t>
      </w:r>
      <w:r>
        <w:t xml:space="preserve"> et hétérocentrisme</w:t>
      </w:r>
      <w:r w:rsidR="00E01002">
        <w:t>. C</w:t>
      </w:r>
      <w:r>
        <w:t xml:space="preserve">es deux phénomènes sociétaux sont-ils </w:t>
      </w:r>
      <w:r w:rsidR="00E01002">
        <w:t xml:space="preserve">cependant </w:t>
      </w:r>
      <w:r>
        <w:t xml:space="preserve">de même type ? Il y a assez large accord pour dénoncer la culture androcentrique, ou machiste ou encore sexiste qui favorise et valorise davantage l’homme que la femme, qui reconnaît ou donne davantage de pouvoir à l’homme qu’à la femme. </w:t>
      </w:r>
      <w:r w:rsidR="00A20885">
        <w:t>Mais l</w:t>
      </w:r>
      <w:r>
        <w:t>’hétérocentrisme est-il un phénomène analogue ? Repose-t-il sur le</w:t>
      </w:r>
      <w:r w:rsidR="008C76C7">
        <w:t>s</w:t>
      </w:r>
      <w:r>
        <w:t xml:space="preserve"> mêmes fondements sociétaux ?</w:t>
      </w:r>
      <w:r w:rsidR="00C75DAF">
        <w:t xml:space="preserve"> Je ne le pense pas.</w:t>
      </w:r>
    </w:p>
    <w:p w:rsidR="00296740" w:rsidRDefault="00296740" w:rsidP="00296740">
      <w:r>
        <w:t>Même si ce n’est peut-être pas politiquement correct, est-il interdit de se demander s’il n’y a pas une certaine normalité de l’hétérosexualité, compte tenu de la morphologie des corps humains</w:t>
      </w:r>
      <w:r w:rsidR="008542FE">
        <w:t>, normalité qui n’est pas de l’ordre de la normativité éthique, il est important d’y insister</w:t>
      </w:r>
      <w:r>
        <w:t xml:space="preserve">. </w:t>
      </w:r>
      <w:r w:rsidR="00D00649">
        <w:t xml:space="preserve">Un rapport de la Fondation Jérôme Lejeune sur le genre, </w:t>
      </w:r>
      <w:r w:rsidR="00E509CF">
        <w:t xml:space="preserve">– fondation d’options éthiques très traditionalistes, – fait justement observer : « Pour l’immense majorité des êtres humains, leur identité et leur orientation sexuelles sont en cohérence et sans problème : les personnes de sexe féminin sont femmes et attirées par les hommes, les personnes de sexe masculin sont hommes et attires par les femmes. » </w:t>
      </w:r>
      <w:r>
        <w:t xml:space="preserve">De ce point de vue, l’homosexualité comme tendance prédominante et s’imposant ne </w:t>
      </w:r>
      <w:r w:rsidR="007A0B80">
        <w:t>pourrait</w:t>
      </w:r>
      <w:r>
        <w:t xml:space="preserve">-elle être considérée comme une </w:t>
      </w:r>
      <w:r w:rsidR="00342B5C">
        <w:t xml:space="preserve">certaine </w:t>
      </w:r>
      <w:r>
        <w:t>forme de handicap de naissance</w:t>
      </w:r>
      <w:r w:rsidR="004B478B">
        <w:t xml:space="preserve"> ou d’une déficience</w:t>
      </w:r>
      <w:r>
        <w:t xml:space="preserve">, </w:t>
      </w:r>
      <w:r w:rsidR="007A0B80">
        <w:t xml:space="preserve">d’ordre psychique, </w:t>
      </w:r>
      <w:r>
        <w:t>qui est à assumer, tout comme d’autres accidents de parcours qui ont lieu au cours de la gestation, et qui ne sont pas de l’ordre de la maladie, comme des déformations de l’ordre physique ?</w:t>
      </w:r>
      <w:r w:rsidR="006512A6">
        <w:t xml:space="preserve"> </w:t>
      </w:r>
      <w:r w:rsidR="00E509CF">
        <w:t xml:space="preserve">Comment exprimer cela 1° sans discriminer ceux qui ne se situent pas dans l’axe majoritaire, et 2° en reconnaissant à tous le droit à une vie sexuelle et affective épanouie ? </w:t>
      </w:r>
      <w:r w:rsidR="006512A6">
        <w:t>La question n’est-elle pas dès lors : quelles conditions mettre en place dans la société pour que les personnes homosexuelles puisse</w:t>
      </w:r>
      <w:r w:rsidR="00AE70BA">
        <w:t>nt</w:t>
      </w:r>
      <w:r w:rsidR="006512A6">
        <w:t xml:space="preserve"> </w:t>
      </w:r>
      <w:r w:rsidR="00AE70BA">
        <w:t>joui</w:t>
      </w:r>
      <w:r w:rsidR="00E01002">
        <w:t>r</w:t>
      </w:r>
      <w:r w:rsidR="00AE70BA">
        <w:t xml:space="preserve"> d’</w:t>
      </w:r>
      <w:r w:rsidR="006512A6">
        <w:t xml:space="preserve">une reconnaissance non discriminante dans leurs projets de vie et avoir les </w:t>
      </w:r>
      <w:r w:rsidR="00C75DAF">
        <w:t>meilleures</w:t>
      </w:r>
      <w:r w:rsidR="006512A6">
        <w:t xml:space="preserve"> possibilités d’épanouissement personnel relationnel et </w:t>
      </w:r>
      <w:r w:rsidR="006512A6">
        <w:lastRenderedPageBreak/>
        <w:t>affectif ?</w:t>
      </w:r>
      <w:r w:rsidR="00BC6D02">
        <w:t xml:space="preserve"> Est-ce humiliant de reconnaître qu’on est éventuellement porteur d’un handicap, afin de l’assumer librement et de valoriser au maximum toutes ses potentialités personnelles, à condition que la société elle-même favorise la non-discrimination ? </w:t>
      </w:r>
      <w:r w:rsidR="00C75DAF">
        <w:t xml:space="preserve">On peut se demander si la souffrance liée aujourd’hui au fait de se reconnaître homosexuel est seulement </w:t>
      </w:r>
      <w:r w:rsidR="006B7CFE">
        <w:t xml:space="preserve">la conséquence du regard sociétal négatif sur l’homosexualité, ou si quelque chose d’autre se joue là. </w:t>
      </w:r>
      <w:r w:rsidR="00BC6D02">
        <w:t>De ce point de vue, la militance LGBT me</w:t>
      </w:r>
      <w:r w:rsidR="00A20885">
        <w:t>t</w:t>
      </w:r>
      <w:r w:rsidR="00BC6D02">
        <w:t xml:space="preserve"> sur le même pied les lesbiennes et les gays, les </w:t>
      </w:r>
      <w:r w:rsidR="00342B5C">
        <w:t>intersexués</w:t>
      </w:r>
      <w:r w:rsidR="00BC6D02">
        <w:t xml:space="preserve"> et les trans</w:t>
      </w:r>
      <w:r w:rsidR="00AE70BA">
        <w:t>genres</w:t>
      </w:r>
      <w:r w:rsidR="00BC6D02">
        <w:t xml:space="preserve">. Or il est évident que les </w:t>
      </w:r>
      <w:r w:rsidR="00342B5C">
        <w:t>intersexués</w:t>
      </w:r>
      <w:r w:rsidR="00BC6D02">
        <w:t>, c’est-à-dire ces personnes qui à la naissance présentent anatomiquement à fois des caractéristiques masculines et féminines sont sujets d’une anomalie</w:t>
      </w:r>
      <w:r w:rsidR="00E01002">
        <w:t xml:space="preserve"> </w:t>
      </w:r>
      <w:r w:rsidR="008542FE">
        <w:t>physique</w:t>
      </w:r>
      <w:r w:rsidR="00BC6D02">
        <w:t xml:space="preserve">, génétique ou non, due à un accident dans le cours de la gestation. </w:t>
      </w:r>
      <w:r w:rsidR="00003B34">
        <w:t xml:space="preserve">En Allemagne, les enfants qui à la naissance présentent morphologiquement une ambiguïté sexuelle peuvent désormais être inscrits à l’État civil sous la catégorie </w:t>
      </w:r>
      <w:r w:rsidR="004B478B">
        <w:t>« genre indéterminé »</w:t>
      </w:r>
      <w:r w:rsidR="00003B34">
        <w:t xml:space="preserve">. </w:t>
      </w:r>
      <w:r w:rsidR="00BC6D02">
        <w:t>Quant aux transsexuel</w:t>
      </w:r>
      <w:r w:rsidR="00A20885">
        <w:t>(le)</w:t>
      </w:r>
      <w:r w:rsidR="00BC6D02">
        <w:t>s</w:t>
      </w:r>
      <w:r w:rsidR="00DE205F">
        <w:t xml:space="preserve"> ou transgenres</w:t>
      </w:r>
      <w:r w:rsidR="00BC6D02">
        <w:t>, qui par procédures hormonales et chirurgicales changent de sexe</w:t>
      </w:r>
      <w:r w:rsidR="00DE205F">
        <w:t>, ils ou elles</w:t>
      </w:r>
      <w:r w:rsidR="00BC6D02">
        <w:t xml:space="preserve"> deviennent de ce fait-là </w:t>
      </w:r>
      <w:r w:rsidR="00A20885">
        <w:t xml:space="preserve">porteurs ou </w:t>
      </w:r>
      <w:r w:rsidR="00BC6D02">
        <w:t>porteuse</w:t>
      </w:r>
      <w:r w:rsidR="00A20885">
        <w:t>s</w:t>
      </w:r>
      <w:r w:rsidR="00BC6D02">
        <w:t xml:space="preserve"> d’un corps qui n’est pas anatomiquement normal. Ceci est dit sans jugement éthique sur la décision prise par ces personnes</w:t>
      </w:r>
      <w:r w:rsidR="009B0F1B">
        <w:t> : la société est aussi appelée à leur faire place sans discrimination.</w:t>
      </w:r>
    </w:p>
    <w:p w:rsidR="00B17A15" w:rsidRDefault="00A20885" w:rsidP="00B17A15">
      <w:r>
        <w:t>Je me pose u</w:t>
      </w:r>
      <w:r w:rsidR="00B17A15">
        <w:t xml:space="preserve">ne question globale sur l’approche anthropologique mise en oeuvre par </w:t>
      </w:r>
      <w:r>
        <w:t>certaines études</w:t>
      </w:r>
      <w:r w:rsidR="00B17A15">
        <w:t xml:space="preserve"> du genre : est-il pertinent de penser l’anthropologie à partir des marges ? </w:t>
      </w:r>
      <w:r w:rsidR="006B7CFE">
        <w:t>Un</w:t>
      </w:r>
      <w:r w:rsidR="00B17A15">
        <w:t xml:space="preserve">e pensée qui n’est pas capable de faire place aux marges ou aux situations minoritaires se disqualifie, a fortiori une pensée qui </w:t>
      </w:r>
      <w:r>
        <w:t xml:space="preserve">dénonce </w:t>
      </w:r>
      <w:r w:rsidR="00B17A15">
        <w:t xml:space="preserve">immédiatement les comportements liés à ces situations </w:t>
      </w:r>
      <w:r>
        <w:t>comme une</w:t>
      </w:r>
      <w:r w:rsidR="00B17A15">
        <w:t xml:space="preserve"> faute, </w:t>
      </w:r>
      <w:r>
        <w:t>objet de</w:t>
      </w:r>
      <w:r w:rsidR="00B17A15">
        <w:t xml:space="preserve"> condamnation morale. Il en va ainsi de l’attitude qui </w:t>
      </w:r>
      <w:r w:rsidR="0001267B">
        <w:t>consiste à affirmer la nécessité</w:t>
      </w:r>
      <w:r w:rsidR="00B17A15">
        <w:t xml:space="preserve"> du respect des personnes homosexuelles tout en condamnant toute pratique homosexuelle.</w:t>
      </w:r>
    </w:p>
    <w:p w:rsidR="008C76C7" w:rsidRDefault="008C76C7" w:rsidP="008C76C7">
      <w:r>
        <w:t xml:space="preserve">La distinction entre exercice de la sexualité et reproduction ouvre à une prise en compte des diverses dimensions du désir et du plaisir. Elle facilite les pratiques qui distinguent plaisir et sentiment ou rapport affectif, comme dans le cas de la prostitution ou dans les diverses formes de rencontres où la relation sexuelle n’engage à rien, si ce n’est le plaisir du moment. </w:t>
      </w:r>
      <w:r w:rsidR="007A0B80">
        <w:t xml:space="preserve">Une expression de cette séparation </w:t>
      </w:r>
      <w:r w:rsidR="00810273">
        <w:t>entre</w:t>
      </w:r>
      <w:r w:rsidR="007A0B80">
        <w:t xml:space="preserve"> plaisir (et en l’occurrence plaisir offert) et lien affectif </w:t>
      </w:r>
      <w:r w:rsidR="00810273">
        <w:t>apparaît dans le fait que, d</w:t>
      </w:r>
      <w:r>
        <w:t xml:space="preserve">ans le cadre de la prostitution, quelle soit hétéro ou homo, il est aujourd’hui question </w:t>
      </w:r>
      <w:r w:rsidR="00857828">
        <w:t xml:space="preserve">de service sexuel offert contre rétribution, ce service étant analogue à diverses autres services dans la société, service </w:t>
      </w:r>
      <w:r w:rsidR="0091251E">
        <w:t>dont</w:t>
      </w:r>
      <w:r w:rsidR="00857828">
        <w:t xml:space="preserve"> certaines (et m</w:t>
      </w:r>
      <w:r w:rsidR="0091251E">
        <w:t xml:space="preserve">oins </w:t>
      </w:r>
      <w:r w:rsidR="00857828">
        <w:t>certains)</w:t>
      </w:r>
      <w:r w:rsidR="0091251E">
        <w:t xml:space="preserve"> revendiquent aujourd’hui la reconnaissance sociale et légale, en masquant sans doute </w:t>
      </w:r>
      <w:r w:rsidR="008D2ADB">
        <w:t xml:space="preserve">de </w:t>
      </w:r>
      <w:r w:rsidR="0091251E">
        <w:t>plus en plus largement tout le trafic d’exploitation que recouvre la prostitution.</w:t>
      </w:r>
    </w:p>
    <w:p w:rsidR="009055CE" w:rsidRDefault="009055CE" w:rsidP="008C76C7">
      <w:r>
        <w:t>Enfin, il me semble qu’il faut se poser des questions autour du concept de nature.</w:t>
      </w:r>
      <w:r w:rsidR="00003B34">
        <w:t xml:space="preserve"> Il est clair que la conception restrictive de la nature identifiée ou réduite au donné biologique, </w:t>
      </w:r>
      <w:r w:rsidR="00847F85">
        <w:t>à laquelle recourt</w:t>
      </w:r>
      <w:r w:rsidR="00003B34">
        <w:t xml:space="preserve"> l’Église catholique dans ses textes officiels, pour fournir une clé décisive de discernement éthique sur les pratiques liées au corps</w:t>
      </w:r>
      <w:r w:rsidR="00847F85">
        <w:t xml:space="preserve">, n’est pas pertinente. C’est au nom de ce concept réducteur que sont condamnés en toute circonstance la contraception chimique ou physique, l’avortement, la relation physique homosexuelle, etc. La nature humaine ne se réduit pas à la constitution biologique du corps. En est-on quitte pour autant du concept de nature ? Je ne le crois pas. Ce concept est revenu en force autour des questions d’environnement et de climat : certaines données de type physique et chimique de la nature en tant que biotope général de l’humanité doivent être </w:t>
      </w:r>
      <w:r w:rsidR="00847F85">
        <w:lastRenderedPageBreak/>
        <w:t>prises en compte. Mais la nature de l’être humain n’est pas seulement physique et biologique, elle est aussi relationnelle et créatrice de culture. Il nous faut donc utiliser un critère de nature plus large. Cela ne signifie cependant pas, je pense, que la constitution anatomique et pour une part biologique différente d</w:t>
      </w:r>
      <w:r w:rsidR="00AE70BA">
        <w:t>es</w:t>
      </w:r>
      <w:r w:rsidR="00847F85">
        <w:t xml:space="preserve"> corps de sexe masculin ou féminin ne dise rien sur ce qu’est être homme ou femme et du rapport entre homme et femme. Comment le dire et le reconnaître sans absolutiser les choses et exclure ce qui apparaît à la marge. Je n’ai pas de réponse à cette question, mais je crois qu’on ne peut pas non plus l’évacuer.</w:t>
      </w:r>
    </w:p>
    <w:p w:rsidR="00A50346" w:rsidRDefault="00A50346" w:rsidP="00A50346">
      <w:r>
        <w:t>Tout cela ouvre à des questions éthiques nouvelles, là où les opinons tranchées ne correspondent ni aux pratiques ni aux expériences. Mais à partir de quels critères discerner ? Il y a beaucoup de travail à faire sur ce sujet, travail nécessairement interdisciplinaire et à l’écoute de ce que les gens vivent réellement.</w:t>
      </w:r>
    </w:p>
    <w:p w:rsidR="008C76C7" w:rsidRPr="00296740" w:rsidRDefault="00325F92" w:rsidP="00296740">
      <w:r>
        <w:t>Je suis porteur</w:t>
      </w:r>
      <w:r w:rsidR="00E01002">
        <w:t xml:space="preserve"> de certain</w:t>
      </w:r>
      <w:r w:rsidR="00A50346">
        <w:t>e</w:t>
      </w:r>
      <w:r w:rsidR="00E01002">
        <w:t xml:space="preserve">s convictions ; je suis habité aussi de questions ; et je tâtonne plus ou moins, en restant à l’écoute et dans le dialogue, </w:t>
      </w:r>
      <w:r w:rsidR="00810273">
        <w:t xml:space="preserve">qui me déplace, </w:t>
      </w:r>
      <w:r w:rsidR="00E01002">
        <w:t>pour discerner les chemins les plus authentiquement humains pour tous.</w:t>
      </w:r>
    </w:p>
    <w:sectPr w:rsidR="008C76C7" w:rsidRPr="00296740">
      <w:headerReference w:type="even" r:id="rId7"/>
      <w:headerReference w:type="default" r:id="rId8"/>
      <w:footerReference w:type="first" r:id="rId9"/>
      <w:pgSz w:w="11907" w:h="16840"/>
      <w:pgMar w:top="1985" w:right="1701" w:bottom="1985" w:left="1701" w:header="113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F9" w:rsidRDefault="000510F9">
      <w:pPr>
        <w:spacing w:after="0"/>
      </w:pPr>
      <w:r>
        <w:separator/>
      </w:r>
    </w:p>
  </w:endnote>
  <w:endnote w:type="continuationSeparator" w:id="0">
    <w:p w:rsidR="000510F9" w:rsidRDefault="000510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4D8" w:rsidRDefault="00D134D8">
    <w:pPr>
      <w:pStyle w:val="Pieddepage"/>
    </w:pPr>
    <w:r>
      <w:rPr>
        <w:sz w:val="16"/>
      </w:rPr>
      <w:fldChar w:fldCharType="begin"/>
    </w:r>
    <w:r>
      <w:rPr>
        <w:sz w:val="16"/>
      </w:rPr>
      <w:instrText xml:space="preserve"> SAVEDATE \@ "dd/MM/yy" \* MERGEFORMAT </w:instrText>
    </w:r>
    <w:r>
      <w:rPr>
        <w:sz w:val="16"/>
      </w:rPr>
      <w:fldChar w:fldCharType="separate"/>
    </w:r>
    <w:r w:rsidR="005D414C">
      <w:rPr>
        <w:noProof/>
        <w:sz w:val="16"/>
      </w:rPr>
      <w:t>12/08/15</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F9" w:rsidRDefault="000510F9">
      <w:pPr>
        <w:spacing w:after="0"/>
      </w:pPr>
      <w:r>
        <w:separator/>
      </w:r>
    </w:p>
  </w:footnote>
  <w:footnote w:type="continuationSeparator" w:id="0">
    <w:p w:rsidR="000510F9" w:rsidRDefault="000510F9">
      <w:pPr>
        <w:spacing w:after="0"/>
      </w:pPr>
      <w:r>
        <w:continuationSeparator/>
      </w:r>
    </w:p>
  </w:footnote>
  <w:footnote w:id="1">
    <w:p w:rsidR="00D134D8" w:rsidRPr="00342B5C" w:rsidRDefault="00D134D8">
      <w:pPr>
        <w:pStyle w:val="Notedebasdepage"/>
        <w:rPr>
          <w:i/>
          <w:color w:val="000000"/>
          <w:sz w:val="24"/>
        </w:rPr>
      </w:pPr>
      <w:r>
        <w:rPr>
          <w:rStyle w:val="Appelnotedebasdep"/>
        </w:rPr>
        <w:footnoteRef/>
      </w:r>
      <w:r>
        <w:t xml:space="preserve"> Lesbiennes, gays, bisexuels, transgenre : toute personne ne se définissant pas comme hétérosexuelle. Actuellement on utilise parfois aussi LGBTI, pour y ajouter les personnes intersexuelles ou intersexuée, c’est-à-dire des personnes présentant une ambiguïté des organes génitaux ; et encore LGBTIQ pour queer ou en questionnement.</w:t>
      </w:r>
    </w:p>
  </w:footnote>
  <w:footnote w:id="2">
    <w:p w:rsidR="00D134D8" w:rsidRPr="00DE205F" w:rsidRDefault="00D134D8">
      <w:pPr>
        <w:pStyle w:val="Notedebasdepage"/>
      </w:pPr>
      <w:r>
        <w:rPr>
          <w:rStyle w:val="Appelnotedebasdep"/>
        </w:rPr>
        <w:footnoteRef/>
      </w:r>
      <w:r>
        <w:t xml:space="preserve"> Cf. Marguerite </w:t>
      </w:r>
      <w:r w:rsidRPr="00820941">
        <w:t>Peeters</w:t>
      </w:r>
      <w:r w:rsidRPr="00AD5879">
        <w:rPr>
          <w:szCs w:val="20"/>
        </w:rPr>
        <w:t xml:space="preserve">, </w:t>
      </w:r>
      <w:r>
        <w:rPr>
          <w:szCs w:val="20"/>
        </w:rPr>
        <w:t xml:space="preserve">directrice de l’Institut interculturel Dialogue Dynamics, a publié </w:t>
      </w:r>
      <w:r w:rsidRPr="00AD5879">
        <w:rPr>
          <w:i/>
          <w:color w:val="000000"/>
          <w:szCs w:val="20"/>
        </w:rPr>
        <w:t>Le Genre, une norme mondiale</w:t>
      </w:r>
      <w:r>
        <w:t xml:space="preserve">, Mame, 2013. Mais aussi le manuel non publié officiellement qu’elle utilise pour des formations en Afrique, entre autres dans différents séminaires diocésains, </w:t>
      </w:r>
      <w:r w:rsidRPr="00DE205F">
        <w:rPr>
          <w:i/>
          <w:color w:val="000000"/>
          <w:szCs w:val="20"/>
        </w:rPr>
        <w:t>La mondialisation de la révolution culturelle occidentale. Concepts-clefs, mécanismes opérationnels</w:t>
      </w:r>
      <w:r>
        <w:t>, 1977. Sa thèse est que les objectifs et les programmes de toutes les agences de l’ONU ont un agenda caché : imposer à tous et partout la culture érotique, féministe, sexuelle et homosexuelle. M. Peeters est consultante du Conseil pontifical de la culture. M. Peeters a été invitée comme experte à différentes reprises par les instances romaines. Dialogue Dynamics semble être une institution plus ou moins bidon : le site ne fait aucune référence à un CA ; la totalité des conférences ou publications ont pour seule auteure M. Peeters.</w:t>
      </w:r>
    </w:p>
  </w:footnote>
  <w:footnote w:id="3">
    <w:p w:rsidR="00D134D8" w:rsidRDefault="00D134D8" w:rsidP="00181F92">
      <w:r>
        <w:rPr>
          <w:rStyle w:val="Appelnotedebasdep"/>
        </w:rPr>
        <w:footnoteRef/>
      </w:r>
      <w:r>
        <w:t xml:space="preserve"> </w:t>
      </w:r>
      <w:r w:rsidRPr="00181F92">
        <w:rPr>
          <w:sz w:val="20"/>
          <w:szCs w:val="20"/>
        </w:rPr>
        <w:t>Le ministère de l’éducation nationale en France a introduit, à partir de 2011-2012, un chapitre « Devenir homme et femme » dans le programme de sciences de la vie et de la terre des classes de première. Le mot « genre » n’est pas cité, mais certains manuels qui répondent à ce programme l’introduisent explicitement.</w:t>
      </w:r>
    </w:p>
  </w:footnote>
  <w:footnote w:id="4">
    <w:p w:rsidR="00D134D8" w:rsidRDefault="00D134D8">
      <w:pPr>
        <w:pStyle w:val="Notedebasdepage"/>
      </w:pPr>
      <w:r>
        <w:rPr>
          <w:rStyle w:val="Appelnotedebasdep"/>
        </w:rPr>
        <w:footnoteRef/>
      </w:r>
      <w:r>
        <w:t xml:space="preserve"> En fait cette définition est reprise à l’OMS.</w:t>
      </w:r>
    </w:p>
  </w:footnote>
  <w:footnote w:id="5">
    <w:p w:rsidR="00D134D8" w:rsidRDefault="00D134D8" w:rsidP="0012661F">
      <w:pPr>
        <w:pStyle w:val="Notedebasdepage"/>
      </w:pPr>
      <w:r>
        <w:rPr>
          <w:rStyle w:val="Appelnotedebasdep"/>
        </w:rPr>
        <w:footnoteRef/>
      </w:r>
      <w:r>
        <w:t xml:space="preserve"> C’est dans le même sens que va le programme consacré au genre à la CSC : il s’agit de lutter contre les discriminations et inégalités dont sont victimes les femmes, à commencer au sein du syndicat lui-même.</w:t>
      </w:r>
    </w:p>
  </w:footnote>
  <w:footnote w:id="6">
    <w:p w:rsidR="00D134D8" w:rsidRPr="00D775FD" w:rsidRDefault="00D134D8">
      <w:pPr>
        <w:pStyle w:val="Notedebasdepage"/>
      </w:pPr>
      <w:r>
        <w:rPr>
          <w:rStyle w:val="Appelnotedebasdep"/>
        </w:rPr>
        <w:footnoteRef/>
      </w:r>
      <w:r>
        <w:t xml:space="preserve"> L’auteure la plus connue en langue française est Judith </w:t>
      </w:r>
      <w:r>
        <w:rPr>
          <w:smallCaps/>
        </w:rPr>
        <w:t>Butler</w:t>
      </w:r>
      <w:r w:rsidRPr="00D775FD">
        <w:rPr>
          <w:szCs w:val="20"/>
        </w:rPr>
        <w:t xml:space="preserve">, </w:t>
      </w:r>
      <w:r w:rsidRPr="00D775FD">
        <w:rPr>
          <w:i/>
          <w:color w:val="000000"/>
          <w:szCs w:val="20"/>
        </w:rPr>
        <w:t>Trouble dans le genre. Le féminisme et la subversion de l’identité</w:t>
      </w:r>
      <w:r>
        <w:t>, Paris, La Découverte, 2006.</w:t>
      </w:r>
    </w:p>
  </w:footnote>
  <w:footnote w:id="7">
    <w:p w:rsidR="00D134D8" w:rsidRDefault="00D134D8">
      <w:pPr>
        <w:pStyle w:val="Notedebasdepage"/>
      </w:pPr>
      <w:r>
        <w:rPr>
          <w:rStyle w:val="Appelnotedebasdep"/>
        </w:rPr>
        <w:footnoteRef/>
      </w:r>
      <w:r>
        <w:t xml:space="preserve"> La référence à Simone de Beauvoir : « On ne naît pas femme, on le devient » est radicalisée.</w:t>
      </w:r>
    </w:p>
  </w:footnote>
  <w:footnote w:id="8">
    <w:p w:rsidR="00D134D8" w:rsidRPr="00641292" w:rsidRDefault="00D134D8">
      <w:pPr>
        <w:pStyle w:val="Notedebasdepage"/>
      </w:pPr>
      <w:r>
        <w:rPr>
          <w:rStyle w:val="Appelnotedebasdep"/>
        </w:rPr>
        <w:footnoteRef/>
      </w:r>
      <w:r>
        <w:t xml:space="preserve"> Préface d’Éric Fasssin dans </w:t>
      </w:r>
      <w:r w:rsidRPr="00D775FD">
        <w:rPr>
          <w:i/>
          <w:color w:val="000000"/>
          <w:szCs w:val="20"/>
        </w:rPr>
        <w:t>Trouble dans le genre</w:t>
      </w:r>
      <w:r>
        <w:t>, p. 14.</w:t>
      </w:r>
    </w:p>
  </w:footnote>
  <w:footnote w:id="9">
    <w:p w:rsidR="00D134D8" w:rsidRDefault="00D134D8">
      <w:pPr>
        <w:pStyle w:val="Notedebasdepage"/>
      </w:pPr>
      <w:r>
        <w:rPr>
          <w:rStyle w:val="Appelnotedebasdep"/>
        </w:rPr>
        <w:footnoteRef/>
      </w:r>
      <w:r>
        <w:t xml:space="preserve"> Le </w:t>
      </w:r>
      <w:r>
        <w:rPr>
          <w:i/>
        </w:rPr>
        <w:t>Journal du dimanche</w:t>
      </w:r>
      <w:r>
        <w:t xml:space="preserve"> du 3 septembre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4D8" w:rsidRDefault="00D134D8">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134D8" w:rsidRDefault="00D134D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4D8" w:rsidRDefault="00D134D8">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D414C">
      <w:rPr>
        <w:rStyle w:val="Numrodepage"/>
        <w:noProof/>
      </w:rPr>
      <w:t>8</w:t>
    </w:r>
    <w:r>
      <w:rPr>
        <w:rStyle w:val="Numrodepage"/>
      </w:rPr>
      <w:fldChar w:fldCharType="end"/>
    </w:r>
  </w:p>
  <w:p w:rsidR="00D134D8" w:rsidRDefault="00D134D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A6D39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B4"/>
    <w:rsid w:val="00003B34"/>
    <w:rsid w:val="0001267B"/>
    <w:rsid w:val="00033660"/>
    <w:rsid w:val="00042547"/>
    <w:rsid w:val="00042B77"/>
    <w:rsid w:val="000469B4"/>
    <w:rsid w:val="00047802"/>
    <w:rsid w:val="000510F9"/>
    <w:rsid w:val="00101A51"/>
    <w:rsid w:val="0012661F"/>
    <w:rsid w:val="00176B0D"/>
    <w:rsid w:val="00181F92"/>
    <w:rsid w:val="001C0801"/>
    <w:rsid w:val="001E5DDB"/>
    <w:rsid w:val="00246F59"/>
    <w:rsid w:val="0028720A"/>
    <w:rsid w:val="00296740"/>
    <w:rsid w:val="003241B9"/>
    <w:rsid w:val="003254F0"/>
    <w:rsid w:val="00325F92"/>
    <w:rsid w:val="003319E7"/>
    <w:rsid w:val="00342B5C"/>
    <w:rsid w:val="0037210C"/>
    <w:rsid w:val="003A1DF5"/>
    <w:rsid w:val="004A218A"/>
    <w:rsid w:val="004B478B"/>
    <w:rsid w:val="004F6D47"/>
    <w:rsid w:val="005A2504"/>
    <w:rsid w:val="005C345B"/>
    <w:rsid w:val="005D414C"/>
    <w:rsid w:val="005D5C8A"/>
    <w:rsid w:val="006025E3"/>
    <w:rsid w:val="00641292"/>
    <w:rsid w:val="006512A6"/>
    <w:rsid w:val="00652ADE"/>
    <w:rsid w:val="00662A8D"/>
    <w:rsid w:val="006B7CFE"/>
    <w:rsid w:val="00720DC6"/>
    <w:rsid w:val="00730448"/>
    <w:rsid w:val="007A0B80"/>
    <w:rsid w:val="007A6D6D"/>
    <w:rsid w:val="007B34D7"/>
    <w:rsid w:val="00800492"/>
    <w:rsid w:val="00810273"/>
    <w:rsid w:val="00820941"/>
    <w:rsid w:val="00847F85"/>
    <w:rsid w:val="008542FE"/>
    <w:rsid w:val="00857828"/>
    <w:rsid w:val="008C2898"/>
    <w:rsid w:val="008C76C7"/>
    <w:rsid w:val="008D2ADB"/>
    <w:rsid w:val="009055CE"/>
    <w:rsid w:val="0091251E"/>
    <w:rsid w:val="0092771E"/>
    <w:rsid w:val="00955B30"/>
    <w:rsid w:val="009B0F1B"/>
    <w:rsid w:val="009B6B36"/>
    <w:rsid w:val="009D3FBD"/>
    <w:rsid w:val="00A20885"/>
    <w:rsid w:val="00A50346"/>
    <w:rsid w:val="00A524BF"/>
    <w:rsid w:val="00A52F87"/>
    <w:rsid w:val="00A57D43"/>
    <w:rsid w:val="00AD5879"/>
    <w:rsid w:val="00AE0557"/>
    <w:rsid w:val="00AE70BA"/>
    <w:rsid w:val="00B17A15"/>
    <w:rsid w:val="00B27C5D"/>
    <w:rsid w:val="00B473EC"/>
    <w:rsid w:val="00B66853"/>
    <w:rsid w:val="00BC6D02"/>
    <w:rsid w:val="00C02636"/>
    <w:rsid w:val="00C30665"/>
    <w:rsid w:val="00C75DAF"/>
    <w:rsid w:val="00CC04A8"/>
    <w:rsid w:val="00CE218F"/>
    <w:rsid w:val="00D00649"/>
    <w:rsid w:val="00D134D8"/>
    <w:rsid w:val="00D274FB"/>
    <w:rsid w:val="00D32A95"/>
    <w:rsid w:val="00D775FD"/>
    <w:rsid w:val="00D94912"/>
    <w:rsid w:val="00DB2BBE"/>
    <w:rsid w:val="00DE205F"/>
    <w:rsid w:val="00E01002"/>
    <w:rsid w:val="00E509CF"/>
    <w:rsid w:val="00E77C53"/>
    <w:rsid w:val="00EA0CB4"/>
    <w:rsid w:val="00EE6C22"/>
    <w:rsid w:val="00F2033F"/>
    <w:rsid w:val="00F8080D"/>
    <w:rsid w:val="00FC3B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EF3D6F-8B2B-4A5C-B48D-2FF417A9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4"/>
      <w:szCs w:val="24"/>
    </w:rPr>
  </w:style>
  <w:style w:type="paragraph" w:styleId="Titre1">
    <w:name w:val="heading 1"/>
    <w:basedOn w:val="Normal"/>
    <w:next w:val="Normal"/>
    <w:qFormat/>
    <w:rsid w:val="00042B77"/>
    <w:pPr>
      <w:keepNext/>
      <w:numPr>
        <w:numId w:val="2"/>
      </w:numPr>
      <w:spacing w:before="360" w:after="240"/>
      <w:outlineLvl w:val="0"/>
    </w:pPr>
    <w:rPr>
      <w:b/>
      <w:bCs/>
      <w:kern w:val="28"/>
      <w:sz w:val="28"/>
      <w:szCs w:val="28"/>
    </w:rPr>
  </w:style>
  <w:style w:type="paragraph" w:styleId="Titre2">
    <w:name w:val="heading 2"/>
    <w:basedOn w:val="Normal"/>
    <w:next w:val="Normal"/>
    <w:qFormat/>
    <w:rsid w:val="00042B77"/>
    <w:pPr>
      <w:keepNext/>
      <w:numPr>
        <w:ilvl w:val="1"/>
        <w:numId w:val="2"/>
      </w:numPr>
      <w:spacing w:before="240"/>
      <w:outlineLvl w:val="1"/>
    </w:pPr>
    <w:rPr>
      <w:b/>
      <w:bCs/>
    </w:rPr>
  </w:style>
  <w:style w:type="paragraph" w:styleId="Titre3">
    <w:name w:val="heading 3"/>
    <w:basedOn w:val="Normal"/>
    <w:next w:val="Normal"/>
    <w:qFormat/>
    <w:rsid w:val="00042B77"/>
    <w:pPr>
      <w:keepNext/>
      <w:numPr>
        <w:ilvl w:val="2"/>
        <w:numId w:val="2"/>
      </w:numPr>
      <w:spacing w:before="240" w:after="60"/>
      <w:outlineLvl w:val="2"/>
    </w:pPr>
    <w:rPr>
      <w:i/>
      <w:iCs/>
    </w:rPr>
  </w:style>
  <w:style w:type="paragraph" w:styleId="Titre4">
    <w:name w:val="heading 4"/>
    <w:basedOn w:val="Normal"/>
    <w:next w:val="Normal"/>
    <w:qFormat/>
    <w:rsid w:val="00042B77"/>
    <w:pPr>
      <w:keepNext/>
      <w:numPr>
        <w:ilvl w:val="3"/>
        <w:numId w:val="2"/>
      </w:numPr>
      <w:spacing w:before="240" w:after="60"/>
      <w:outlineLvl w:val="3"/>
    </w:pPr>
    <w:rPr>
      <w:rFonts w:ascii="Arial" w:hAnsi="Arial" w:cs="Arial"/>
      <w:b/>
      <w:bCs/>
    </w:rPr>
  </w:style>
  <w:style w:type="paragraph" w:styleId="Titre5">
    <w:name w:val="heading 5"/>
    <w:basedOn w:val="Normal"/>
    <w:next w:val="Normal"/>
    <w:qFormat/>
    <w:rsid w:val="00042B77"/>
    <w:pPr>
      <w:numPr>
        <w:ilvl w:val="4"/>
        <w:numId w:val="2"/>
      </w:numPr>
      <w:spacing w:before="240" w:after="60"/>
      <w:outlineLvl w:val="4"/>
    </w:pPr>
    <w:rPr>
      <w:rFonts w:ascii="Arial" w:hAnsi="Arial" w:cs="Arial"/>
      <w:sz w:val="22"/>
      <w:szCs w:val="22"/>
    </w:rPr>
  </w:style>
  <w:style w:type="paragraph" w:styleId="Titre6">
    <w:name w:val="heading 6"/>
    <w:basedOn w:val="Normal"/>
    <w:next w:val="Normal"/>
    <w:qFormat/>
    <w:rsid w:val="00042B77"/>
    <w:pPr>
      <w:numPr>
        <w:ilvl w:val="5"/>
        <w:numId w:val="2"/>
      </w:numPr>
      <w:spacing w:before="240" w:after="60"/>
      <w:outlineLvl w:val="5"/>
    </w:pPr>
    <w:rPr>
      <w:i/>
      <w:iCs/>
      <w:sz w:val="22"/>
      <w:szCs w:val="22"/>
    </w:rPr>
  </w:style>
  <w:style w:type="paragraph" w:styleId="Titre7">
    <w:name w:val="heading 7"/>
    <w:basedOn w:val="Normal"/>
    <w:next w:val="Normal"/>
    <w:qFormat/>
    <w:rsid w:val="00042B77"/>
    <w:pPr>
      <w:numPr>
        <w:ilvl w:val="6"/>
        <w:numId w:val="2"/>
      </w:numPr>
      <w:spacing w:before="240" w:after="60"/>
      <w:outlineLvl w:val="6"/>
    </w:pPr>
    <w:rPr>
      <w:rFonts w:ascii="Arial" w:hAnsi="Arial" w:cs="Arial"/>
      <w:sz w:val="20"/>
      <w:szCs w:val="20"/>
    </w:rPr>
  </w:style>
  <w:style w:type="paragraph" w:styleId="Titre8">
    <w:name w:val="heading 8"/>
    <w:basedOn w:val="Normal"/>
    <w:next w:val="Normal"/>
    <w:qFormat/>
    <w:rsid w:val="00042B77"/>
    <w:pPr>
      <w:numPr>
        <w:ilvl w:val="7"/>
        <w:numId w:val="2"/>
      </w:numPr>
      <w:spacing w:before="240" w:after="60"/>
      <w:outlineLvl w:val="7"/>
    </w:pPr>
    <w:rPr>
      <w:rFonts w:ascii="Arial" w:hAnsi="Arial" w:cs="Arial"/>
      <w:i/>
      <w:iCs/>
      <w:sz w:val="20"/>
      <w:szCs w:val="20"/>
    </w:rPr>
  </w:style>
  <w:style w:type="paragraph" w:styleId="Titre9">
    <w:name w:val="heading 9"/>
    <w:basedOn w:val="Normal"/>
    <w:next w:val="Normal"/>
    <w:qFormat/>
    <w:rsid w:val="00042B77"/>
    <w:pPr>
      <w:numPr>
        <w:ilvl w:val="8"/>
        <w:numId w:val="2"/>
      </w:num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character" w:styleId="Appelnotedebasdep">
    <w:name w:val="footnote reference"/>
    <w:basedOn w:val="Policepardfaut"/>
    <w:semiHidden/>
    <w:rPr>
      <w:sz w:val="20"/>
      <w:szCs w:val="20"/>
      <w:vertAlign w:val="superscript"/>
    </w:r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Notedebasdepage">
    <w:name w:val="footnote text"/>
    <w:basedOn w:val="Normal"/>
    <w:semiHidden/>
    <w:rsid w:val="0037210C"/>
    <w:rPr>
      <w:sz w:val="20"/>
    </w:rPr>
  </w:style>
  <w:style w:type="paragraph" w:styleId="Titre">
    <w:name w:val="Title"/>
    <w:basedOn w:val="Normal"/>
    <w:qFormat/>
    <w:pPr>
      <w:spacing w:before="240" w:after="240"/>
      <w:jc w:val="center"/>
      <w:outlineLvl w:val="0"/>
    </w:pPr>
    <w:rPr>
      <w:b/>
      <w:bCs/>
      <w:kern w:val="28"/>
      <w:sz w:val="32"/>
      <w:szCs w:val="32"/>
    </w:rPr>
  </w:style>
  <w:style w:type="paragraph" w:styleId="Textedebulles">
    <w:name w:val="Balloon Text"/>
    <w:basedOn w:val="Normal"/>
    <w:semiHidden/>
    <w:rsid w:val="00EE6C22"/>
    <w:rPr>
      <w:rFonts w:ascii="Tahoma" w:hAnsi="Tahoma" w:cs="Tahoma"/>
      <w:sz w:val="16"/>
      <w:szCs w:val="16"/>
    </w:rPr>
  </w:style>
  <w:style w:type="paragraph" w:styleId="Listepuces">
    <w:name w:val="List Bullet"/>
    <w:basedOn w:val="Normal"/>
    <w:autoRedefine/>
    <w:rsid w:val="00B6685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gnace\Application%20Data\Microsoft\Mod&#232;les\Titres1.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Titres1.1.dot</Template>
  <TotalTime>0</TotalTime>
  <Pages>8</Pages>
  <Words>3581</Words>
  <Characters>19698</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Le genre : convictions et questionnements d’un  théologien</vt:lpstr>
    </vt:vector>
  </TitlesOfParts>
  <Company>BERTEN</Company>
  <LinksUpToDate>false</LinksUpToDate>
  <CharactersWithSpaces>23233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genre : convictions et questionnements d’un  théologien</dc:title>
  <dc:creator>Ignace Berten</dc:creator>
  <cp:lastModifiedBy>hauzeur</cp:lastModifiedBy>
  <cp:revision>2</cp:revision>
  <cp:lastPrinted>2013-12-01T08:13:00Z</cp:lastPrinted>
  <dcterms:created xsi:type="dcterms:W3CDTF">2015-12-18T14:04:00Z</dcterms:created>
  <dcterms:modified xsi:type="dcterms:W3CDTF">2015-12-18T14:04:00Z</dcterms:modified>
</cp:coreProperties>
</file>